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beforeLines="50" w:line="560" w:lineRule="atLeast"/>
        <w:jc w:val="center"/>
        <w:rPr>
          <w:rStyle w:val="7"/>
          <w:rFonts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spacing w:val="-20"/>
          <w:sz w:val="44"/>
          <w:szCs w:val="44"/>
        </w:rPr>
        <w:t>202</w:t>
      </w:r>
      <w:r>
        <w:rPr>
          <w:rFonts w:ascii="方正小标宋_GBK" w:hAnsi="方正小标宋_GBK" w:eastAsia="方正小标宋_GBK" w:cs="方正小标宋_GBK"/>
          <w:spacing w:val="-20"/>
          <w:sz w:val="44"/>
          <w:szCs w:val="44"/>
        </w:rPr>
        <w:t>2</w:t>
      </w:r>
      <w:r>
        <w:rPr>
          <w:rFonts w:hint="eastAsia" w:ascii="方正小标宋_GBK" w:hAnsi="方正小标宋_GBK" w:eastAsia="方正小标宋_GBK" w:cs="方正小标宋_GBK"/>
          <w:spacing w:val="-20"/>
          <w:sz w:val="44"/>
          <w:szCs w:val="44"/>
        </w:rPr>
        <w:t>年度传播交流推广资助项目申报细则</w:t>
      </w:r>
    </w:p>
    <w:p>
      <w:pPr>
        <w:pStyle w:val="4"/>
        <w:shd w:val="clear" w:color="auto" w:fill="FFFFFF"/>
        <w:spacing w:before="0" w:beforeAutospacing="0" w:after="0" w:afterAutospacing="0" w:line="600" w:lineRule="exact"/>
        <w:jc w:val="both"/>
        <w:rPr>
          <w:rStyle w:val="7"/>
          <w:rFonts w:ascii="黑体" w:hAnsi="黑体" w:eastAsia="黑体" w:cs="黑体"/>
          <w:b w:val="0"/>
          <w:color w:val="000000" w:themeColor="text1"/>
          <w:sz w:val="32"/>
          <w:szCs w:val="32"/>
          <w14:textFill>
            <w14:solidFill>
              <w14:schemeClr w14:val="tx1"/>
            </w14:solidFill>
          </w14:textFill>
        </w:rPr>
      </w:pPr>
      <w:r>
        <w:rPr>
          <w:rStyle w:val="7"/>
          <w:rFonts w:hint="eastAsia" w:ascii="黑体" w:hAnsi="黑体" w:eastAsia="黑体" w:cs="黑体"/>
          <w:color w:val="000000" w:themeColor="text1"/>
          <w:sz w:val="32"/>
          <w:szCs w:val="32"/>
          <w14:textFill>
            <w14:solidFill>
              <w14:schemeClr w14:val="tx1"/>
            </w14:solidFill>
          </w14:textFill>
        </w:rPr>
        <w:t>　　一、资助对象</w:t>
      </w:r>
    </w:p>
    <w:p>
      <w:pPr>
        <w:widowControl/>
        <w:shd w:val="clear" w:color="auto" w:fill="FFFFFF"/>
        <w:spacing w:line="600" w:lineRule="exact"/>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　　本年度重点资助改革开放以来特别是党的十八大以来创作生产的优秀艺术作品的传播交流推广；支持深入基层，深入农村开展的优秀艺术作品演出、展览、演播活动；</w:t>
      </w:r>
      <w:r>
        <w:rPr>
          <w:rFonts w:hint="eastAsia" w:ascii="仿宋" w:hAnsi="仿宋" w:eastAsia="仿宋"/>
          <w:sz w:val="32"/>
          <w:szCs w:val="32"/>
          <w:shd w:val="clear" w:color="auto" w:fill="FFFFFF"/>
        </w:rPr>
        <w:t>围绕“一带一路”倡议、“长江经济带”发展、 “大运河文化带”建设、“长三角一体化”发展等国家、省重大战略，打响“水韵江苏”品牌</w:t>
      </w:r>
      <w:r>
        <w:rPr>
          <w:rFonts w:hint="eastAsia" w:ascii="仿宋" w:hAnsi="仿宋" w:eastAsia="仿宋"/>
          <w:sz w:val="32"/>
          <w:szCs w:val="32"/>
          <w:shd w:val="clear" w:color="auto" w:fill="FFFFFF"/>
          <w:lang w:eastAsia="zh-CN"/>
        </w:rPr>
        <w:t>，</w:t>
      </w:r>
      <w:r>
        <w:rPr>
          <w:rFonts w:hint="eastAsia" w:ascii="仿宋" w:hAnsi="仿宋" w:eastAsia="仿宋"/>
          <w:sz w:val="32"/>
          <w:szCs w:val="32"/>
          <w:shd w:val="clear" w:color="auto" w:fill="FFFFFF"/>
        </w:rPr>
        <w:t>推进“两廊两带两区”发展布局，</w:t>
      </w:r>
      <w:r>
        <w:rPr>
          <w:rFonts w:hint="eastAsia" w:ascii="仿宋" w:hAnsi="仿宋" w:eastAsia="仿宋" w:cs="Tahoma"/>
          <w:snapToGrid w:val="0"/>
          <w:color w:val="000000"/>
          <w:kern w:val="0"/>
          <w:sz w:val="32"/>
          <w:szCs w:val="32"/>
        </w:rPr>
        <w:t>彰显时代特征、中国特色、江苏特点的文艺精品的展示展演；</w:t>
      </w:r>
      <w:bookmarkStart w:id="0" w:name="_GoBack"/>
      <w:bookmarkEnd w:id="0"/>
      <w:r>
        <w:rPr>
          <w:rFonts w:hint="eastAsia" w:ascii="仿宋" w:hAnsi="仿宋" w:eastAsia="仿宋" w:cs="Tahoma"/>
          <w:snapToGrid w:val="0"/>
          <w:color w:val="000000"/>
          <w:kern w:val="0"/>
          <w:sz w:val="32"/>
          <w:szCs w:val="32"/>
        </w:rPr>
        <w:t>重点资助能够用情用力讲好中国故事、江苏故事，向世界展现可信、可爱、可敬的中国形象，具有国际影响力和竞争力的项目。</w:t>
      </w:r>
    </w:p>
    <w:p>
      <w:pPr>
        <w:widowControl/>
        <w:shd w:val="clear" w:color="auto" w:fill="FFFFFF"/>
        <w:spacing w:line="600" w:lineRule="exact"/>
        <w:rPr>
          <w:rStyle w:val="7"/>
          <w:rFonts w:ascii="黑体" w:hAnsi="黑体" w:eastAsia="黑体" w:cs="黑体"/>
          <w:b w:val="0"/>
          <w:color w:val="000000" w:themeColor="text1"/>
          <w14:textFill>
            <w14:solidFill>
              <w14:schemeClr w14:val="tx1"/>
            </w14:solidFill>
          </w14:textFill>
        </w:rPr>
      </w:pPr>
      <w:r>
        <w:rPr>
          <w:rStyle w:val="7"/>
          <w:rFonts w:hint="eastAsia" w:ascii="黑体" w:hAnsi="黑体" w:eastAsia="黑体" w:cs="黑体"/>
          <w:color w:val="000000" w:themeColor="text1"/>
          <w:sz w:val="32"/>
          <w:szCs w:val="32"/>
          <w14:textFill>
            <w14:solidFill>
              <w14:schemeClr w14:val="tx1"/>
            </w14:solidFill>
          </w14:textFill>
        </w:rPr>
        <w:t>　　二、资助范围</w:t>
      </w:r>
    </w:p>
    <w:p>
      <w:pPr>
        <w:widowControl/>
        <w:shd w:val="clear" w:color="auto" w:fill="FFFFFF"/>
        <w:spacing w:line="60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（一）本项目资助范围包括：优秀舞台艺术作品展演、美术作品展览和运用新媒体通过互联网开展的演播活动。不资助艺术工作者个人的作品演出展览演播、纪念活动和节庆赛事等。</w:t>
      </w:r>
    </w:p>
    <w:p>
      <w:pPr>
        <w:widowControl/>
        <w:shd w:val="clear" w:color="auto" w:fill="FFFFFF"/>
        <w:spacing w:line="60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（二）申报在国（境）内演出的舞台艺术作品，应是在服务基层、服务群众过程中，深受欢迎，产生过良好社会影响的作品。</w:t>
      </w:r>
    </w:p>
    <w:p>
      <w:pPr>
        <w:widowControl/>
        <w:shd w:val="clear" w:color="auto" w:fill="FFFFFF"/>
        <w:spacing w:line="60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（三）申报传播交流的展演、展览项目，应为具有代表性艺术家群体或具有较高艺术水准团体的代表作品。</w:t>
      </w:r>
    </w:p>
    <w:p>
      <w:pPr>
        <w:widowControl/>
        <w:shd w:val="clear" w:color="auto" w:fill="FFFFFF"/>
        <w:spacing w:line="60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（四）申报传统艺术形式与现代科技手段或新媒体手段相结合的项目，应是能够把握分众化审美需求、实现精准垂直传播，更好地满足群众精神文化需求的项目。</w:t>
      </w:r>
    </w:p>
    <w:p>
      <w:pPr>
        <w:widowControl/>
        <w:shd w:val="clear" w:color="auto" w:fill="FFFFFF"/>
        <w:spacing w:line="600" w:lineRule="exact"/>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　　（五）传播交流推广项目从区域范围上可以分为国（境）内和国（境）外。由于评审侧重点，特别是资助方式不同，国（境）内和国（境）外项目不可在同一个项目中混报。在港澳台地区开展的项目，由于资助方式与在内地（大陆）实施的项目不同，可在国（境）外开展的项目中申报。</w:t>
      </w:r>
    </w:p>
    <w:p>
      <w:pPr>
        <w:widowControl/>
        <w:shd w:val="clear" w:color="auto" w:fill="FFFFFF"/>
        <w:spacing w:line="600" w:lineRule="exact"/>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　　（六）申报项目应是在202</w:t>
      </w:r>
      <w:r>
        <w:rPr>
          <w:rFonts w:ascii="仿宋" w:hAnsi="仿宋" w:eastAsia="仿宋" w:cs="Tahoma"/>
          <w:snapToGrid w:val="0"/>
          <w:color w:val="000000"/>
          <w:kern w:val="0"/>
          <w:sz w:val="32"/>
          <w:szCs w:val="32"/>
        </w:rPr>
        <w:t>2</w:t>
      </w:r>
      <w:r>
        <w:rPr>
          <w:rFonts w:hint="eastAsia" w:ascii="仿宋" w:hAnsi="仿宋" w:eastAsia="仿宋" w:cs="Tahoma"/>
          <w:snapToGrid w:val="0"/>
          <w:color w:val="000000"/>
          <w:kern w:val="0"/>
          <w:sz w:val="32"/>
          <w:szCs w:val="32"/>
        </w:rPr>
        <w:t>年1月1日（含 1 月 1 日）后实施，且能够在 202</w:t>
      </w:r>
      <w:r>
        <w:rPr>
          <w:rFonts w:ascii="仿宋" w:hAnsi="仿宋" w:eastAsia="仿宋" w:cs="Tahoma"/>
          <w:snapToGrid w:val="0"/>
          <w:color w:val="000000"/>
          <w:kern w:val="0"/>
          <w:sz w:val="32"/>
          <w:szCs w:val="32"/>
        </w:rPr>
        <w:t>3</w:t>
      </w:r>
      <w:r>
        <w:rPr>
          <w:rFonts w:hint="eastAsia" w:ascii="仿宋" w:hAnsi="仿宋" w:eastAsia="仿宋" w:cs="Tahoma"/>
          <w:snapToGrid w:val="0"/>
          <w:color w:val="000000"/>
          <w:kern w:val="0"/>
          <w:sz w:val="32"/>
          <w:szCs w:val="32"/>
        </w:rPr>
        <w:t>年6 月 30 日前按要求完成结项验收的项目。</w:t>
      </w:r>
    </w:p>
    <w:p>
      <w:pPr>
        <w:widowControl/>
        <w:shd w:val="clear" w:color="auto" w:fill="FFFFFF"/>
        <w:spacing w:line="600" w:lineRule="exact"/>
        <w:rPr>
          <w:rStyle w:val="7"/>
          <w:rFonts w:ascii="黑体" w:hAnsi="黑体" w:eastAsia="黑体" w:cs="黑体"/>
          <w:b w:val="0"/>
          <w:color w:val="000000" w:themeColor="text1"/>
          <w14:textFill>
            <w14:solidFill>
              <w14:schemeClr w14:val="tx1"/>
            </w14:solidFill>
          </w14:textFill>
        </w:rPr>
      </w:pPr>
      <w:r>
        <w:rPr>
          <w:rStyle w:val="7"/>
          <w:rFonts w:hint="eastAsia" w:ascii="黑体" w:hAnsi="黑体" w:eastAsia="黑体" w:cs="黑体"/>
          <w:color w:val="000000" w:themeColor="text1"/>
          <w:sz w:val="32"/>
          <w:szCs w:val="32"/>
          <w14:textFill>
            <w14:solidFill>
              <w14:schemeClr w14:val="tx1"/>
            </w14:solidFill>
          </w14:textFill>
        </w:rPr>
        <w:t>　　三、资助额度</w:t>
      </w:r>
    </w:p>
    <w:p>
      <w:pPr>
        <w:widowControl/>
        <w:shd w:val="clear" w:color="auto" w:fill="FFFFFF"/>
        <w:spacing w:line="600" w:lineRule="exact"/>
        <w:rPr>
          <w:rFonts w:ascii="仿宋" w:hAnsi="仿宋" w:eastAsia="仿宋" w:cs="Tahoma"/>
          <w:snapToGrid w:val="0"/>
          <w:color w:val="000000"/>
          <w:kern w:val="0"/>
        </w:rPr>
      </w:pPr>
      <w:r>
        <w:rPr>
          <w:rFonts w:hint="eastAsia" w:ascii="仿宋" w:hAnsi="仿宋" w:eastAsia="仿宋" w:cs="Tahoma"/>
          <w:snapToGrid w:val="0"/>
          <w:color w:val="000000"/>
          <w:kern w:val="0"/>
          <w:sz w:val="32"/>
          <w:szCs w:val="32"/>
        </w:rPr>
        <w:t>　　依据申报项目的实施地点（境内、境外），艺术门类（舞台艺术作品展演，美术作品展览，展览、展演的新媒体传播），规模体量，成本投入等因素综合核定资助金额,项目资助额度为50—150万元。</w:t>
      </w:r>
    </w:p>
    <w:p>
      <w:pPr>
        <w:widowControl/>
        <w:shd w:val="clear" w:color="auto" w:fill="FFFFFF"/>
        <w:spacing w:line="600" w:lineRule="exact"/>
        <w:rPr>
          <w:rStyle w:val="7"/>
          <w:rFonts w:ascii="黑体" w:hAnsi="黑体" w:eastAsia="黑体" w:cs="黑体"/>
          <w:b w:val="0"/>
          <w:color w:val="000000" w:themeColor="text1"/>
          <w14:textFill>
            <w14:solidFill>
              <w14:schemeClr w14:val="tx1"/>
            </w14:solidFill>
          </w14:textFill>
        </w:rPr>
      </w:pPr>
      <w:r>
        <w:rPr>
          <w:rStyle w:val="7"/>
          <w:rFonts w:hint="eastAsia" w:ascii="黑体" w:hAnsi="黑体" w:eastAsia="黑体" w:cs="黑体"/>
          <w:color w:val="000000" w:themeColor="text1"/>
          <w:sz w:val="32"/>
          <w:szCs w:val="32"/>
          <w14:textFill>
            <w14:solidFill>
              <w14:schemeClr w14:val="tx1"/>
            </w14:solidFill>
          </w14:textFill>
        </w:rPr>
        <w:t>　　四、资助方式</w:t>
      </w:r>
    </w:p>
    <w:p>
      <w:pPr>
        <w:widowControl/>
        <w:shd w:val="clear" w:color="auto" w:fill="FFFFFF"/>
        <w:spacing w:line="60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一）本项目以匹配资助为主。对在国（境）内实施的展演和展览项目，资助资金主要用于补助展馆剧场租赁、展陈布置、交通运输、学术研讨、资料录制、与展览展演相关的出版物、宣传推广和工作人员差旅食宿等费用，不含剧目创排、展品征集和作品保险等费用；对在国（境）外实施的展演和展览项目，资助资金主要用于补助国际间交通运输、学术研讨、展陈布置、资料录制、与展览展演相关的出版物、宣传推广和工作人员差旅食宿等费用，不含展馆剧场租赁、剧目创排、展品征集和作品保险等费用；对运用互联网、新媒体等现代科技手段开展传播交流推广的项目，资助资金主要用于补助软件开发、直播服务、宣传推广和工作人员差旅食宿等费用，不含设备购置、创作排演、作品征集等费用。</w:t>
      </w:r>
    </w:p>
    <w:p>
      <w:pPr>
        <w:widowControl/>
        <w:shd w:val="clear" w:color="auto" w:fill="FFFFFF"/>
        <w:spacing w:line="600" w:lineRule="exact"/>
        <w:ind w:firstLine="63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（二）对立项资助项目，艺术基金将先期拨付资助资金总额的</w:t>
      </w:r>
      <w:r>
        <w:rPr>
          <w:rFonts w:ascii="仿宋" w:hAnsi="仿宋" w:eastAsia="仿宋" w:cs="Tahoma"/>
          <w:snapToGrid w:val="0"/>
          <w:color w:val="000000"/>
          <w:kern w:val="0"/>
          <w:sz w:val="32"/>
          <w:szCs w:val="32"/>
        </w:rPr>
        <w:t>85</w:t>
      </w:r>
      <w:r>
        <w:rPr>
          <w:rFonts w:hint="eastAsia" w:ascii="仿宋" w:hAnsi="仿宋" w:eastAsia="仿宋" w:cs="Tahoma"/>
          <w:snapToGrid w:val="0"/>
          <w:color w:val="000000"/>
          <w:kern w:val="0"/>
          <w:sz w:val="32"/>
          <w:szCs w:val="32"/>
        </w:rPr>
        <w:t>％作为项目实施经费；项目完成并验收合格后，拨付剩余</w:t>
      </w:r>
      <w:r>
        <w:rPr>
          <w:rFonts w:ascii="仿宋" w:hAnsi="仿宋" w:eastAsia="仿宋" w:cs="Tahoma"/>
          <w:snapToGrid w:val="0"/>
          <w:color w:val="000000"/>
          <w:kern w:val="0"/>
          <w:sz w:val="32"/>
          <w:szCs w:val="32"/>
        </w:rPr>
        <w:t>15</w:t>
      </w:r>
      <w:r>
        <w:rPr>
          <w:rFonts w:hint="eastAsia" w:ascii="仿宋" w:hAnsi="仿宋" w:eastAsia="仿宋" w:cs="Tahoma"/>
          <w:snapToGrid w:val="0"/>
          <w:color w:val="000000"/>
          <w:kern w:val="0"/>
          <w:sz w:val="32"/>
          <w:szCs w:val="32"/>
        </w:rPr>
        <w:t>％的资助资金。</w:t>
      </w:r>
    </w:p>
    <w:p>
      <w:pPr>
        <w:widowControl/>
        <w:shd w:val="clear" w:color="auto" w:fill="FFFFFF"/>
        <w:spacing w:line="600" w:lineRule="exact"/>
        <w:ind w:firstLine="63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（三）曾获江苏艺术基金立项资助的大型舞台项目，未通过结项验收前，该项目不能申报艺术基金传播交流推广项目。</w:t>
      </w:r>
    </w:p>
    <w:p>
      <w:pPr>
        <w:pStyle w:val="4"/>
        <w:shd w:val="clear" w:color="auto" w:fill="FFFFFF"/>
        <w:spacing w:before="0" w:beforeAutospacing="0" w:after="0" w:afterAutospacing="0" w:line="600" w:lineRule="exact"/>
        <w:jc w:val="both"/>
        <w:rPr>
          <w:rStyle w:val="7"/>
          <w:rFonts w:ascii="黑体" w:hAnsi="黑体" w:eastAsia="黑体" w:cs="黑体"/>
          <w:b w:val="0"/>
          <w:color w:val="000000" w:themeColor="text1"/>
          <w14:textFill>
            <w14:solidFill>
              <w14:schemeClr w14:val="tx1"/>
            </w14:solidFill>
          </w14:textFill>
        </w:rPr>
      </w:pPr>
      <w:r>
        <w:rPr>
          <w:rStyle w:val="7"/>
          <w:rFonts w:hint="eastAsia" w:ascii="黑体" w:hAnsi="黑体" w:eastAsia="黑体" w:cs="黑体"/>
          <w:color w:val="000000" w:themeColor="text1"/>
          <w:sz w:val="32"/>
          <w:szCs w:val="32"/>
          <w14:textFill>
            <w14:solidFill>
              <w14:schemeClr w14:val="tx1"/>
            </w14:solidFill>
          </w14:textFill>
        </w:rPr>
        <w:t>　　五、申报条件</w:t>
      </w:r>
    </w:p>
    <w:p>
      <w:pPr>
        <w:widowControl/>
        <w:shd w:val="clear" w:color="auto" w:fill="FFFFFF"/>
        <w:spacing w:line="600" w:lineRule="exact"/>
        <w:rPr>
          <w:rFonts w:ascii="仿宋" w:hAnsi="仿宋" w:eastAsia="仿宋" w:cs="Tahoma"/>
          <w:snapToGrid w:val="0"/>
          <w:color w:val="000000"/>
          <w:kern w:val="0"/>
        </w:rPr>
      </w:pPr>
      <w:r>
        <w:rPr>
          <w:rFonts w:hint="eastAsia" w:ascii="仿宋" w:hAnsi="仿宋" w:eastAsia="仿宋" w:cs="Tahoma"/>
          <w:snapToGrid w:val="0"/>
          <w:color w:val="000000"/>
          <w:kern w:val="0"/>
          <w:sz w:val="32"/>
          <w:szCs w:val="32"/>
        </w:rPr>
        <w:t>　　（一）本项目的申报主体为单位或机构（不含性质为机关法人的单位）。申报项目的单位或机构应同时具备以下条件：20</w:t>
      </w:r>
      <w:r>
        <w:rPr>
          <w:rFonts w:ascii="仿宋" w:hAnsi="仿宋" w:eastAsia="仿宋" w:cs="Tahoma"/>
          <w:snapToGrid w:val="0"/>
          <w:color w:val="000000"/>
          <w:kern w:val="0"/>
          <w:sz w:val="32"/>
          <w:szCs w:val="32"/>
        </w:rPr>
        <w:t>20</w:t>
      </w:r>
      <w:r>
        <w:rPr>
          <w:rFonts w:hint="eastAsia" w:ascii="仿宋" w:hAnsi="仿宋" w:eastAsia="仿宋" w:cs="Tahoma"/>
          <w:snapToGrid w:val="0"/>
          <w:color w:val="000000"/>
          <w:kern w:val="0"/>
          <w:sz w:val="32"/>
          <w:szCs w:val="32"/>
        </w:rPr>
        <w:t>年</w:t>
      </w:r>
      <w:r>
        <w:rPr>
          <w:rFonts w:ascii="仿宋" w:hAnsi="仿宋" w:eastAsia="仿宋" w:cs="Tahoma"/>
          <w:snapToGrid w:val="0"/>
          <w:color w:val="000000"/>
          <w:kern w:val="0"/>
          <w:sz w:val="32"/>
          <w:szCs w:val="32"/>
        </w:rPr>
        <w:t>6</w:t>
      </w:r>
      <w:r>
        <w:rPr>
          <w:rFonts w:hint="eastAsia" w:ascii="仿宋" w:hAnsi="仿宋" w:eastAsia="仿宋" w:cs="Tahoma"/>
          <w:snapToGrid w:val="0"/>
          <w:color w:val="000000"/>
          <w:kern w:val="0"/>
          <w:sz w:val="32"/>
          <w:szCs w:val="32"/>
        </w:rPr>
        <w:t>月</w:t>
      </w:r>
      <w:r>
        <w:rPr>
          <w:rFonts w:ascii="仿宋" w:hAnsi="仿宋" w:eastAsia="仿宋" w:cs="Tahoma"/>
          <w:snapToGrid w:val="0"/>
          <w:color w:val="000000"/>
          <w:kern w:val="0"/>
          <w:sz w:val="32"/>
          <w:szCs w:val="32"/>
        </w:rPr>
        <w:t>1</w:t>
      </w:r>
      <w:r>
        <w:rPr>
          <w:rFonts w:hint="eastAsia" w:ascii="仿宋" w:hAnsi="仿宋" w:eastAsia="仿宋" w:cs="Tahoma"/>
          <w:snapToGrid w:val="0"/>
          <w:color w:val="000000"/>
          <w:kern w:val="0"/>
          <w:sz w:val="32"/>
          <w:szCs w:val="32"/>
        </w:rPr>
        <w:t>日前在江苏省内行政机关登记、注册的单位或机构。因事业单位体制改革重新登记、注册的，登记、注册时间可与改革前连续计算。</w:t>
      </w:r>
    </w:p>
    <w:p>
      <w:pPr>
        <w:widowControl/>
        <w:shd w:val="clear" w:color="auto" w:fill="FFFFFF"/>
        <w:spacing w:line="600" w:lineRule="exact"/>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　　（二）已经完成了申报项目的前期工作，能够提供详实、可行的工作方案，与展演展览承接方或软件开发方签署的意向协议和已落实的资金证明，已落实资金不得少于申请资助资金。</w:t>
      </w:r>
    </w:p>
    <w:p>
      <w:pPr>
        <w:widowControl/>
        <w:shd w:val="clear" w:color="auto" w:fill="FFFFFF"/>
        <w:spacing w:line="600" w:lineRule="exact"/>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　　（三）由多家单位或机构合作完成的项目，应由其中一家单位或机构作为申报主体进行申报，并由主要合作方在《江苏艺术基金（一般项目）202</w:t>
      </w:r>
      <w:r>
        <w:rPr>
          <w:rFonts w:ascii="仿宋" w:hAnsi="仿宋" w:eastAsia="仿宋" w:cs="Tahoma"/>
          <w:snapToGrid w:val="0"/>
          <w:color w:val="000000"/>
          <w:kern w:val="0"/>
          <w:sz w:val="32"/>
          <w:szCs w:val="32"/>
        </w:rPr>
        <w:t>2</w:t>
      </w:r>
      <w:r>
        <w:rPr>
          <w:rFonts w:hint="eastAsia" w:ascii="仿宋" w:hAnsi="仿宋" w:eastAsia="仿宋" w:cs="Tahoma"/>
          <w:snapToGrid w:val="0"/>
          <w:color w:val="000000"/>
          <w:kern w:val="0"/>
          <w:sz w:val="32"/>
          <w:szCs w:val="32"/>
        </w:rPr>
        <w:t>年度传播交流推广资助项目申报表》上签署同意意见并加盖公章。</w:t>
      </w:r>
    </w:p>
    <w:p>
      <w:pPr>
        <w:widowControl/>
        <w:shd w:val="clear" w:color="auto" w:fill="FFFFFF"/>
        <w:spacing w:line="600" w:lineRule="exact"/>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　　（四）在国（境）外开展的项目须有国（境）外合作方提供的邀请函。国（境）外合作方应为有实力、有经验、有渠道、有平台、有影响力、有资质的专业机构，能够推广主流内容，安排主流场所，吸引主流观众。</w:t>
      </w:r>
    </w:p>
    <w:p>
      <w:pPr>
        <w:widowControl/>
        <w:shd w:val="clear" w:color="auto" w:fill="FFFFFF"/>
        <w:spacing w:line="600" w:lineRule="exact"/>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　　（五）申报舞台艺术作品展演和展演的新媒体传播项目，应于202</w:t>
      </w:r>
      <w:r>
        <w:rPr>
          <w:rFonts w:ascii="仿宋" w:hAnsi="仿宋" w:eastAsia="仿宋" w:cs="Tahoma"/>
          <w:snapToGrid w:val="0"/>
          <w:color w:val="000000"/>
          <w:kern w:val="0"/>
          <w:sz w:val="32"/>
          <w:szCs w:val="32"/>
        </w:rPr>
        <w:t>1</w:t>
      </w:r>
      <w:r>
        <w:rPr>
          <w:rFonts w:hint="eastAsia" w:ascii="仿宋" w:hAnsi="仿宋" w:eastAsia="仿宋" w:cs="Tahoma"/>
          <w:snapToGrid w:val="0"/>
          <w:color w:val="000000"/>
          <w:kern w:val="0"/>
          <w:sz w:val="32"/>
          <w:szCs w:val="32"/>
        </w:rPr>
        <w:t>年</w:t>
      </w:r>
      <w:r>
        <w:rPr>
          <w:rFonts w:ascii="仿宋" w:hAnsi="仿宋" w:eastAsia="仿宋" w:cs="Tahoma"/>
          <w:snapToGrid w:val="0"/>
          <w:color w:val="000000"/>
          <w:kern w:val="0"/>
          <w:sz w:val="32"/>
          <w:szCs w:val="32"/>
        </w:rPr>
        <w:t>9</w:t>
      </w:r>
      <w:r>
        <w:rPr>
          <w:rFonts w:hint="eastAsia" w:ascii="仿宋" w:hAnsi="仿宋" w:eastAsia="仿宋" w:cs="Tahoma"/>
          <w:snapToGrid w:val="0"/>
          <w:color w:val="000000"/>
          <w:kern w:val="0"/>
          <w:sz w:val="32"/>
          <w:szCs w:val="32"/>
        </w:rPr>
        <w:t>月1日前完成作品创作，申报前需与巡演承接方签署意向协议。</w:t>
      </w:r>
    </w:p>
    <w:p>
      <w:pPr>
        <w:widowControl/>
        <w:shd w:val="clear" w:color="auto" w:fill="FFFFFF"/>
        <w:spacing w:line="600" w:lineRule="exact"/>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　　（六）申报美术作品展览和展览的新媒体传播项目，应于202</w:t>
      </w:r>
      <w:r>
        <w:rPr>
          <w:rFonts w:ascii="仿宋" w:hAnsi="仿宋" w:eastAsia="仿宋" w:cs="Tahoma"/>
          <w:snapToGrid w:val="0"/>
          <w:color w:val="000000"/>
          <w:kern w:val="0"/>
          <w:sz w:val="32"/>
          <w:szCs w:val="32"/>
        </w:rPr>
        <w:t>1</w:t>
      </w:r>
      <w:r>
        <w:rPr>
          <w:rFonts w:hint="eastAsia" w:ascii="仿宋" w:hAnsi="仿宋" w:eastAsia="仿宋" w:cs="Tahoma"/>
          <w:snapToGrid w:val="0"/>
          <w:color w:val="000000"/>
          <w:kern w:val="0"/>
          <w:sz w:val="32"/>
          <w:szCs w:val="32"/>
        </w:rPr>
        <w:t xml:space="preserve"> 年 </w:t>
      </w:r>
      <w:r>
        <w:rPr>
          <w:rFonts w:ascii="仿宋" w:hAnsi="仿宋" w:eastAsia="仿宋" w:cs="Tahoma"/>
          <w:snapToGrid w:val="0"/>
          <w:color w:val="000000"/>
          <w:kern w:val="0"/>
          <w:sz w:val="32"/>
          <w:szCs w:val="32"/>
        </w:rPr>
        <w:t>9</w:t>
      </w:r>
      <w:r>
        <w:rPr>
          <w:rFonts w:hint="eastAsia" w:ascii="仿宋" w:hAnsi="仿宋" w:eastAsia="仿宋" w:cs="Tahoma"/>
          <w:snapToGrid w:val="0"/>
          <w:color w:val="000000"/>
          <w:kern w:val="0"/>
          <w:sz w:val="32"/>
          <w:szCs w:val="32"/>
        </w:rPr>
        <w:t>月1日前完成策展和展品征集，申报前需与承接方签署意向协议。</w:t>
      </w:r>
    </w:p>
    <w:p>
      <w:pPr>
        <w:widowControl/>
        <w:shd w:val="clear" w:color="auto" w:fill="FFFFFF"/>
        <w:spacing w:line="600" w:lineRule="exact"/>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　　（七）曾获江苏艺术基金立项资助的项目，在规定时间内未通过结项验收前，其项目实施主体不能再次以相同艺术品种申报艺术基金，但可以申报其他艺术品种资助项目。</w:t>
      </w:r>
    </w:p>
    <w:p>
      <w:pPr>
        <w:pStyle w:val="4"/>
        <w:shd w:val="clear" w:color="auto" w:fill="FFFFFF"/>
        <w:spacing w:before="0" w:beforeAutospacing="0" w:after="0" w:afterAutospacing="0" w:line="600" w:lineRule="exact"/>
        <w:jc w:val="both"/>
        <w:rPr>
          <w:rStyle w:val="7"/>
          <w:rFonts w:ascii="黑体" w:hAnsi="黑体" w:eastAsia="黑体" w:cs="黑体"/>
          <w:b w:val="0"/>
          <w:color w:val="000000" w:themeColor="text1"/>
          <w14:textFill>
            <w14:solidFill>
              <w14:schemeClr w14:val="tx1"/>
            </w14:solidFill>
          </w14:textFill>
        </w:rPr>
      </w:pPr>
      <w:r>
        <w:rPr>
          <w:rStyle w:val="7"/>
          <w:rFonts w:hint="eastAsia" w:ascii="黑体" w:hAnsi="黑体" w:eastAsia="黑体" w:cs="黑体"/>
          <w:color w:val="000000" w:themeColor="text1"/>
          <w:sz w:val="32"/>
          <w:szCs w:val="32"/>
          <w14:textFill>
            <w14:solidFill>
              <w14:schemeClr w14:val="tx1"/>
            </w14:solidFill>
          </w14:textFill>
        </w:rPr>
        <w:t>　　六、申报材料</w:t>
      </w:r>
    </w:p>
    <w:p>
      <w:pPr>
        <w:widowControl/>
        <w:shd w:val="clear" w:color="auto" w:fill="FFFFFF"/>
        <w:spacing w:line="600" w:lineRule="exact"/>
        <w:rPr>
          <w:rFonts w:ascii="仿宋" w:hAnsi="仿宋" w:eastAsia="仿宋" w:cs="Tahoma"/>
          <w:snapToGrid w:val="0"/>
          <w:color w:val="000000"/>
          <w:kern w:val="0"/>
        </w:rPr>
      </w:pPr>
      <w:r>
        <w:rPr>
          <w:rFonts w:hint="eastAsia" w:ascii="仿宋" w:hAnsi="仿宋" w:eastAsia="仿宋" w:cs="Tahoma"/>
          <w:snapToGrid w:val="0"/>
          <w:color w:val="000000"/>
          <w:kern w:val="0"/>
          <w:sz w:val="32"/>
          <w:szCs w:val="32"/>
        </w:rPr>
        <w:t>　　（一）《江苏艺术基金（一般项目）202</w:t>
      </w:r>
      <w:r>
        <w:rPr>
          <w:rFonts w:ascii="仿宋" w:hAnsi="仿宋" w:eastAsia="仿宋" w:cs="Tahoma"/>
          <w:snapToGrid w:val="0"/>
          <w:color w:val="000000"/>
          <w:kern w:val="0"/>
          <w:sz w:val="32"/>
          <w:szCs w:val="32"/>
        </w:rPr>
        <w:t>2</w:t>
      </w:r>
      <w:r>
        <w:rPr>
          <w:rFonts w:hint="eastAsia" w:ascii="仿宋" w:hAnsi="仿宋" w:eastAsia="仿宋" w:cs="Tahoma"/>
          <w:snapToGrid w:val="0"/>
          <w:color w:val="000000"/>
          <w:kern w:val="0"/>
          <w:sz w:val="32"/>
          <w:szCs w:val="32"/>
        </w:rPr>
        <w:t xml:space="preserve"> 年度传播交流推广资助项目申报表》。</w:t>
      </w:r>
    </w:p>
    <w:p>
      <w:pPr>
        <w:widowControl/>
        <w:shd w:val="clear" w:color="auto" w:fill="FFFFFF"/>
        <w:spacing w:line="600" w:lineRule="exact"/>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　　（二）同级行政主管部门颁发的登记、注册证书和组织机构代码证（或统一社会信用代码证书）复印件（须加盖本单位公章），因事业单位体制改革重新登记、注册的应特别注明。</w:t>
      </w:r>
    </w:p>
    <w:p>
      <w:pPr>
        <w:widowControl/>
        <w:shd w:val="clear" w:color="auto" w:fill="FFFFFF"/>
        <w:spacing w:line="600" w:lineRule="exact"/>
        <w:ind w:firstLine="63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（三）20</w:t>
      </w:r>
      <w:r>
        <w:rPr>
          <w:rFonts w:ascii="仿宋" w:hAnsi="仿宋" w:eastAsia="仿宋" w:cs="Tahoma"/>
          <w:snapToGrid w:val="0"/>
          <w:color w:val="000000"/>
          <w:kern w:val="0"/>
          <w:sz w:val="32"/>
          <w:szCs w:val="32"/>
        </w:rPr>
        <w:t>20</w:t>
      </w:r>
      <w:r>
        <w:rPr>
          <w:rFonts w:hint="eastAsia" w:ascii="仿宋" w:hAnsi="仿宋" w:eastAsia="仿宋" w:cs="Tahoma"/>
          <w:snapToGrid w:val="0"/>
          <w:color w:val="000000"/>
          <w:kern w:val="0"/>
          <w:sz w:val="32"/>
          <w:szCs w:val="32"/>
        </w:rPr>
        <w:t>年度财务报表（资产负债表、利润表或收入支出决算表）和202</w:t>
      </w:r>
      <w:r>
        <w:rPr>
          <w:rFonts w:ascii="仿宋" w:hAnsi="仿宋" w:eastAsia="仿宋" w:cs="Tahoma"/>
          <w:snapToGrid w:val="0"/>
          <w:color w:val="000000"/>
          <w:kern w:val="0"/>
          <w:sz w:val="32"/>
          <w:szCs w:val="32"/>
        </w:rPr>
        <w:t>1</w:t>
      </w:r>
      <w:r>
        <w:rPr>
          <w:rFonts w:hint="eastAsia" w:ascii="仿宋" w:hAnsi="仿宋" w:eastAsia="仿宋" w:cs="Tahoma"/>
          <w:snapToGrid w:val="0"/>
          <w:color w:val="000000"/>
          <w:kern w:val="0"/>
          <w:sz w:val="32"/>
          <w:szCs w:val="32"/>
        </w:rPr>
        <w:t>年度1月份社会保险个人权益记录（单位缴费信息）（须加盖本单位公章）。</w:t>
      </w:r>
    </w:p>
    <w:p>
      <w:pPr>
        <w:widowControl/>
        <w:shd w:val="clear" w:color="auto" w:fill="FFFFFF"/>
        <w:spacing w:line="600" w:lineRule="exact"/>
        <w:ind w:firstLine="63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（四）申报舞台艺术作品演出项目的，须提供营业性演出许可证。</w:t>
      </w:r>
    </w:p>
    <w:p>
      <w:pPr>
        <w:widowControl/>
        <w:shd w:val="clear" w:color="auto" w:fill="FFFFFF"/>
        <w:spacing w:line="600" w:lineRule="exact"/>
        <w:ind w:firstLine="63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（五）开展传播交流推广活动的与承接展演展览的剧场、展馆或软件开发、资料录制单位签署的意向协议和已落实资金证明。申报运用新媒体通过互联网开展的演播项目，播出媒体应在2018年</w:t>
      </w:r>
      <w:r>
        <w:rPr>
          <w:rFonts w:ascii="仿宋" w:hAnsi="仿宋" w:eastAsia="仿宋" w:cs="Tahoma"/>
          <w:snapToGrid w:val="0"/>
          <w:color w:val="000000"/>
          <w:kern w:val="0"/>
          <w:sz w:val="32"/>
          <w:szCs w:val="32"/>
        </w:rPr>
        <w:t>12月</w:t>
      </w:r>
      <w:r>
        <w:rPr>
          <w:rFonts w:hint="eastAsia" w:ascii="仿宋" w:hAnsi="仿宋" w:eastAsia="仿宋" w:cs="Tahoma"/>
          <w:snapToGrid w:val="0"/>
          <w:color w:val="000000"/>
          <w:kern w:val="0"/>
          <w:sz w:val="32"/>
          <w:szCs w:val="32"/>
        </w:rPr>
        <w:t>1日前办理互联网信息服务备案，并提供备案证明。</w:t>
      </w:r>
    </w:p>
    <w:p>
      <w:pPr>
        <w:widowControl/>
        <w:shd w:val="clear" w:color="auto" w:fill="FFFFFF"/>
        <w:spacing w:line="600" w:lineRule="exact"/>
        <w:ind w:firstLine="63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六）申报凡涉及党和国家领导人，涉及中国共产党历史、中华人民共和国历史、中国人民解放军历史上重大事件、重要人物和重大决策过程的题材或较多地涉及民族宗教内容的项目，须提供设区市市级以上党委宣传部门、文化行政部门或部队宣传文化主管部门的审读意见。</w:t>
      </w:r>
    </w:p>
    <w:p>
      <w:pPr>
        <w:widowControl/>
        <w:shd w:val="clear" w:color="auto" w:fill="FFFFFF"/>
        <w:spacing w:line="600" w:lineRule="exact"/>
        <w:ind w:firstLine="63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（七）演出项目须提交完整的参演作品视频，展览项目须提交全部参展作品的图片，演播项目须提交</w:t>
      </w:r>
      <w:r>
        <w:rPr>
          <w:rFonts w:ascii="仿宋" w:hAnsi="仿宋" w:eastAsia="仿宋" w:cs="Tahoma"/>
          <w:snapToGrid w:val="0"/>
          <w:color w:val="000000"/>
          <w:kern w:val="0"/>
          <w:sz w:val="32"/>
          <w:szCs w:val="32"/>
        </w:rPr>
        <w:t>完整</w:t>
      </w:r>
      <w:r>
        <w:rPr>
          <w:rFonts w:hint="eastAsia" w:ascii="仿宋" w:hAnsi="仿宋" w:eastAsia="仿宋" w:cs="Tahoma"/>
          <w:snapToGrid w:val="0"/>
          <w:color w:val="000000"/>
          <w:kern w:val="0"/>
          <w:sz w:val="32"/>
          <w:szCs w:val="32"/>
        </w:rPr>
        <w:t>播出内容视频。</w:t>
      </w:r>
    </w:p>
    <w:sectPr>
      <w:footerReference r:id="rId3" w:type="default"/>
      <w:pgSz w:w="11906" w:h="16838"/>
      <w:pgMar w:top="1440" w:right="1800" w:bottom="1440" w:left="1800" w:header="851" w:footer="992" w:gutter="0"/>
      <w:pgNumType w:start="1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2149070"/>
      <w:docPartObj>
        <w:docPartGallery w:val="AutoText"/>
      </w:docPartObj>
    </w:sdtPr>
    <w:sdtContent>
      <w:p>
        <w:pPr>
          <w:pStyle w:val="2"/>
          <w:jc w:val="center"/>
        </w:pPr>
        <w:r>
          <w:fldChar w:fldCharType="begin"/>
        </w:r>
        <w:r>
          <w:instrText xml:space="preserve">PAGE   \* MERGEFORMAT</w:instrText>
        </w:r>
        <w:r>
          <w:fldChar w:fldCharType="separate"/>
        </w:r>
        <w:r>
          <w:rPr>
            <w:lang w:val="zh-CN"/>
          </w:rPr>
          <w:t>12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FF"/>
    <w:rsid w:val="00025572"/>
    <w:rsid w:val="001400FF"/>
    <w:rsid w:val="00306764"/>
    <w:rsid w:val="0044514B"/>
    <w:rsid w:val="00473DDB"/>
    <w:rsid w:val="00526226"/>
    <w:rsid w:val="00535460"/>
    <w:rsid w:val="008A40EF"/>
    <w:rsid w:val="00B2164D"/>
    <w:rsid w:val="00C0024A"/>
    <w:rsid w:val="00C068C8"/>
    <w:rsid w:val="00C13D85"/>
    <w:rsid w:val="00DB3996"/>
    <w:rsid w:val="00DD7650"/>
    <w:rsid w:val="00EA22D7"/>
    <w:rsid w:val="00EB730B"/>
    <w:rsid w:val="00F74F71"/>
    <w:rsid w:val="049F343C"/>
    <w:rsid w:val="7BAA3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Strong"/>
    <w:qFormat/>
    <w:uiPriority w:val="0"/>
    <w:rPr>
      <w:rFonts w:hint="default" w:ascii="Times New Roman" w:hAnsi="Times New Roman" w:cs="Times New Roman"/>
      <w:b/>
      <w:bCs/>
    </w:r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364</Words>
  <Characters>2081</Characters>
  <Lines>17</Lines>
  <Paragraphs>4</Paragraphs>
  <TotalTime>1</TotalTime>
  <ScaleCrop>false</ScaleCrop>
  <LinksUpToDate>false</LinksUpToDate>
  <CharactersWithSpaces>2441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2021-12-30T10:00:00Z</dcterms:created>
  <dc:creator>user</dc:creator>
  <cp:lastModifiedBy>望溪</cp:lastModifiedBy>
  <dcterms:modified xsi:type="dcterms:W3CDTF">2021-12-31T08:52:52Z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6DDF20B1568948B8A0B4C713A0EA31B2</vt:lpwstr>
  </property>
</Properties>
</file>